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66"/>
        <w:gridCol w:w="5760"/>
      </w:tblGrid>
      <w:tr w:rsidR="001B693F" w:rsidRPr="001B693F" w:rsidTr="001B693F">
        <w:trPr>
          <w:jc w:val="center"/>
        </w:trPr>
        <w:tc>
          <w:tcPr>
            <w:tcW w:w="3348" w:type="dxa"/>
            <w:tcMar>
              <w:top w:w="0" w:type="dxa"/>
              <w:left w:w="108" w:type="dxa"/>
              <w:bottom w:w="0" w:type="dxa"/>
              <w:right w:w="108" w:type="dxa"/>
            </w:tcMar>
            <w:hideMark/>
          </w:tcPr>
          <w:p w:rsidR="001B693F" w:rsidRPr="001B693F" w:rsidRDefault="001B693F" w:rsidP="001B693F">
            <w:pPr>
              <w:spacing w:after="0" w:line="240" w:lineRule="auto"/>
              <w:jc w:val="center"/>
              <w:rPr>
                <w:rFonts w:eastAsia="Times New Roman" w:cs="Times New Roman"/>
                <w:b/>
                <w:bCs/>
                <w:szCs w:val="24"/>
                <w:lang w:eastAsia="vi-VN"/>
              </w:rPr>
            </w:pPr>
            <w:r w:rsidRPr="001B693F">
              <w:rPr>
                <w:rFonts w:eastAsia="Times New Roman" w:cs="Times New Roman"/>
                <w:b/>
                <w:bCs/>
                <w:szCs w:val="24"/>
                <w:lang w:eastAsia="vi-VN"/>
              </w:rPr>
              <w:t>BỘ Y TẾ - BỘ TÀI CHÍNH</w:t>
            </w:r>
            <w:r w:rsidRPr="001B693F">
              <w:rPr>
                <w:rFonts w:eastAsia="Times New Roman" w:cs="Times New Roman"/>
                <w:b/>
                <w:bCs/>
                <w:szCs w:val="24"/>
                <w:lang w:eastAsia="vi-VN"/>
              </w:rPr>
              <w:br/>
              <w:t>-------</w:t>
            </w:r>
          </w:p>
          <w:p w:rsidR="001B693F" w:rsidRPr="001B693F" w:rsidRDefault="001B693F" w:rsidP="001B693F">
            <w:pPr>
              <w:spacing w:after="0" w:line="240" w:lineRule="auto"/>
              <w:jc w:val="center"/>
              <w:rPr>
                <w:rFonts w:eastAsia="Times New Roman" w:cs="Times New Roman"/>
                <w:szCs w:val="24"/>
                <w:lang w:eastAsia="vi-VN"/>
              </w:rPr>
            </w:pPr>
            <w:r w:rsidRPr="001B693F">
              <w:rPr>
                <w:rFonts w:eastAsia="Times New Roman" w:cs="Times New Roman"/>
                <w:szCs w:val="24"/>
                <w:lang w:eastAsia="vi-VN"/>
              </w:rPr>
              <w:t>Số: 16/2015/TTLT-BYT-BTC</w:t>
            </w:r>
          </w:p>
        </w:tc>
        <w:tc>
          <w:tcPr>
            <w:tcW w:w="6012" w:type="dxa"/>
            <w:tcMar>
              <w:top w:w="0" w:type="dxa"/>
              <w:left w:w="108" w:type="dxa"/>
              <w:bottom w:w="0" w:type="dxa"/>
              <w:right w:w="108" w:type="dxa"/>
            </w:tcMar>
            <w:hideMark/>
          </w:tcPr>
          <w:p w:rsidR="001B693F" w:rsidRPr="001B693F" w:rsidRDefault="001B693F" w:rsidP="001B693F">
            <w:pPr>
              <w:spacing w:after="0" w:line="240" w:lineRule="auto"/>
              <w:jc w:val="center"/>
              <w:rPr>
                <w:rFonts w:eastAsia="Times New Roman" w:cs="Times New Roman"/>
                <w:b/>
                <w:bCs/>
                <w:szCs w:val="24"/>
                <w:lang w:eastAsia="vi-VN"/>
              </w:rPr>
            </w:pPr>
            <w:r w:rsidRPr="001B693F">
              <w:rPr>
                <w:rFonts w:eastAsia="Times New Roman" w:cs="Times New Roman"/>
                <w:b/>
                <w:bCs/>
                <w:szCs w:val="24"/>
                <w:lang w:eastAsia="vi-VN"/>
              </w:rPr>
              <w:t>CỘNG HÒA XÃ HỘI CHỦ NGHĨA VIỆT NAM</w:t>
            </w:r>
            <w:r w:rsidRPr="001B693F">
              <w:rPr>
                <w:rFonts w:eastAsia="Times New Roman" w:cs="Times New Roman"/>
                <w:b/>
                <w:bCs/>
                <w:szCs w:val="24"/>
                <w:lang w:eastAsia="vi-VN"/>
              </w:rPr>
              <w:br/>
              <w:t xml:space="preserve">Độc lập - Tự do - Hạnh phúc </w:t>
            </w:r>
            <w:r w:rsidRPr="001B693F">
              <w:rPr>
                <w:rFonts w:eastAsia="Times New Roman" w:cs="Times New Roman"/>
                <w:b/>
                <w:bCs/>
                <w:szCs w:val="24"/>
                <w:lang w:eastAsia="vi-VN"/>
              </w:rPr>
              <w:br/>
              <w:t>---------------</w:t>
            </w:r>
          </w:p>
          <w:p w:rsidR="001B693F" w:rsidRPr="001B693F" w:rsidRDefault="001B693F" w:rsidP="001B693F">
            <w:pPr>
              <w:spacing w:after="0" w:line="240" w:lineRule="auto"/>
              <w:jc w:val="right"/>
              <w:rPr>
                <w:rFonts w:eastAsia="Times New Roman" w:cs="Times New Roman"/>
                <w:szCs w:val="24"/>
                <w:lang w:eastAsia="vi-VN"/>
              </w:rPr>
            </w:pPr>
            <w:r w:rsidRPr="001B693F">
              <w:rPr>
                <w:rFonts w:eastAsia="Times New Roman" w:cs="Times New Roman"/>
                <w:i/>
                <w:iCs/>
                <w:szCs w:val="24"/>
                <w:lang w:eastAsia="vi-VN"/>
              </w:rPr>
              <w:t>Hà Nội, ngày 02 tháng 07 năm 2015</w:t>
            </w:r>
          </w:p>
        </w:tc>
      </w:tr>
    </w:tbl>
    <w:p w:rsidR="001B693F" w:rsidRPr="001B693F" w:rsidRDefault="001B693F" w:rsidP="001B693F">
      <w:pPr>
        <w:spacing w:after="0" w:line="240" w:lineRule="auto"/>
        <w:rPr>
          <w:rFonts w:eastAsia="Times New Roman" w:cs="Times New Roman"/>
          <w:szCs w:val="24"/>
          <w:lang w:eastAsia="vi-VN"/>
        </w:rPr>
      </w:pPr>
    </w:p>
    <w:p w:rsidR="001B693F" w:rsidRPr="001B693F" w:rsidRDefault="001B693F" w:rsidP="001B693F">
      <w:pPr>
        <w:spacing w:after="0" w:line="240" w:lineRule="auto"/>
        <w:rPr>
          <w:rFonts w:eastAsia="Times New Roman" w:cs="Times New Roman"/>
          <w:szCs w:val="24"/>
          <w:lang w:eastAsia="vi-VN"/>
        </w:rPr>
      </w:pPr>
      <w:r w:rsidRPr="001B693F">
        <w:rPr>
          <w:rFonts w:eastAsia="Times New Roman" w:cs="Times New Roman"/>
          <w:szCs w:val="24"/>
          <w:lang w:eastAsia="vi-VN"/>
        </w:rPr>
        <w:t> </w:t>
      </w:r>
    </w:p>
    <w:p w:rsidR="001B693F" w:rsidRPr="001B693F" w:rsidRDefault="001B693F" w:rsidP="001B693F">
      <w:pPr>
        <w:spacing w:after="0" w:line="240" w:lineRule="auto"/>
        <w:jc w:val="center"/>
        <w:rPr>
          <w:rFonts w:eastAsia="Times New Roman" w:cs="Times New Roman"/>
          <w:szCs w:val="24"/>
          <w:lang w:eastAsia="vi-VN"/>
        </w:rPr>
      </w:pPr>
      <w:r w:rsidRPr="001B693F">
        <w:rPr>
          <w:rFonts w:eastAsia="Times New Roman" w:cs="Times New Roman"/>
          <w:b/>
          <w:bCs/>
          <w:szCs w:val="24"/>
          <w:lang w:eastAsia="vi-VN"/>
        </w:rPr>
        <w:t>THÔNG TƯ LIÊN TỊCH</w:t>
      </w:r>
    </w:p>
    <w:p w:rsidR="001B693F" w:rsidRPr="001B693F" w:rsidRDefault="001B693F" w:rsidP="001B693F">
      <w:pPr>
        <w:spacing w:after="0" w:line="240" w:lineRule="auto"/>
        <w:jc w:val="center"/>
        <w:rPr>
          <w:rFonts w:eastAsia="Times New Roman" w:cs="Times New Roman"/>
          <w:b/>
          <w:szCs w:val="24"/>
          <w:lang w:eastAsia="vi-VN"/>
        </w:rPr>
      </w:pPr>
      <w:r w:rsidRPr="001B693F">
        <w:rPr>
          <w:rFonts w:eastAsia="Times New Roman" w:cs="Times New Roman"/>
          <w:b/>
          <w:szCs w:val="24"/>
          <w:lang w:eastAsia="vi-VN"/>
        </w:rPr>
        <w:t>SỬA ĐỔI KHOẢN 5 ĐIỀU 13 THÔNG TƯ LIÊN TỊCH SỐ 41/2014/TTLT-BYT-BTC NGÀY 24 THÁNG 11 NĂM 2014 CỦA BỘ Y TẾ, BỘ TÀI CHÍNH HƯỚNG DẪN THỰC HIỆN BẢO HIỂM Y TẾ</w:t>
      </w:r>
    </w:p>
    <w:p w:rsidR="001B693F" w:rsidRPr="001B693F" w:rsidRDefault="001B693F" w:rsidP="001B693F">
      <w:pPr>
        <w:spacing w:after="0" w:line="240" w:lineRule="auto"/>
        <w:jc w:val="center"/>
        <w:rPr>
          <w:rFonts w:eastAsia="Times New Roman" w:cs="Times New Roman"/>
          <w:szCs w:val="24"/>
          <w:lang w:eastAsia="vi-VN"/>
        </w:rPr>
      </w:pPr>
    </w:p>
    <w:p w:rsidR="001B693F" w:rsidRPr="001B693F" w:rsidRDefault="001B693F" w:rsidP="001B693F">
      <w:pPr>
        <w:spacing w:after="120" w:line="240" w:lineRule="auto"/>
        <w:ind w:firstLine="720"/>
        <w:jc w:val="both"/>
        <w:rPr>
          <w:rFonts w:eastAsia="Times New Roman" w:cs="Times New Roman"/>
          <w:szCs w:val="24"/>
          <w:lang w:eastAsia="vi-VN"/>
        </w:rPr>
      </w:pPr>
      <w:r w:rsidRPr="001B693F">
        <w:rPr>
          <w:rFonts w:eastAsia="Times New Roman" w:cs="Times New Roman"/>
          <w:i/>
          <w:iCs/>
          <w:szCs w:val="24"/>
          <w:lang w:eastAsia="vi-VN"/>
        </w:rPr>
        <w:t>Căn cứ Luật bảo hiểm y tế;</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i/>
          <w:iCs/>
          <w:szCs w:val="24"/>
          <w:lang w:val="en-US" w:eastAsia="vi-VN"/>
        </w:rPr>
        <w:t>Căn cứ Nghị định số 105/2014/NĐ-CP ngày 15 tháng 11 năm 2014 của Chính phủ quy định chức năng, nhiệm vụ, quyền hạn và cơ cấu tổ chức của Bộ Y tế;</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i/>
          <w:iCs/>
          <w:szCs w:val="24"/>
          <w:lang w:val="en-US" w:eastAsia="vi-VN"/>
        </w:rPr>
        <w:t xml:space="preserve">Căn cứ Nghị định số 63/2012/NĐ-CP ngày 31 tháng 8 năm 2012 của Chính phủ quy định chức năng, nhiệm vụ, quyền hạn và cơ cấu tổ chức của Bộ Y tế; </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i/>
          <w:iCs/>
          <w:szCs w:val="24"/>
          <w:lang w:val="en-US" w:eastAsia="vi-VN"/>
        </w:rPr>
        <w:t>Căn cứ Nghị định số 215/2013/NĐ-CP ngày 23 tháng 12 năm 2013 của Chính phủ quy định chức năng, nhiệm vụ, quyền hạn và cơ cấu tổ chức của Bộ Tài chính;</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i/>
          <w:iCs/>
          <w:szCs w:val="24"/>
          <w:lang w:val="en-US" w:eastAsia="vi-VN"/>
        </w:rPr>
        <w:t>Bộ trưởng Bộ Y tế và Bộ trưởng Bộ Tài chính ban hành Thông tư liên tịch sửa đổi khoản 5 Điều 13 Thông tư liên tịch số 41/2014/TTLT-BYT-BTC ngày 24 tháng 11 năm 2014 của liên Bộ Y tế - Bộ Tài chính hướng dẫn thực hiện bảo hiểm y tế.</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b/>
          <w:bCs/>
          <w:szCs w:val="24"/>
          <w:lang w:val="en-US" w:eastAsia="vi-VN"/>
        </w:rPr>
        <w:t>Điều 1. Sửa đổi Khoản 5 Điều 13 Thông tư liên tịch số 41/2014/TTLT-BYT-BTC ngày 24 tháng 11 năm 2014 của Bộ Y tế, Bộ Tài chính hướng dẫn thực hiện bảo hiểm y tế như sau:</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szCs w:val="24"/>
          <w:lang w:val="en-US" w:eastAsia="vi-VN"/>
        </w:rPr>
        <w:t>“5. Trường hợp cơ sở y tế có tổ chức khám, chữa bệnh bảo hiểm y tế vào ngày nghỉ, ngày lễ phải thông báo cho tổ chức bảo hiểm xã hội để bổ sung vào hợp đồng khám bệnh, chữa bệnh trước khi thực hiện. Người có thẻ bảo hiểm y tế đến khám bệnh, chữa bệnh được quỹ bảo hiểm y tế thanh toán trong phạm vi quyền lợi và mức hưởng bảo hiểm y tế. Cơ sở y tế có trách nhiệm bảo đảm về nhân lực, điều kiện chuyên môn, phải công khai những khoản chi phí mà người bệnh phải chi trả ngoài phạm vi được hưởng của người bệnh tham gia bảo hiểm y tế và phải thông báo trước cho người bệnh, người bệnh phải tự chi trả phần chi phí ngoài phạm vi quyền lợi và mức hưởng bảo hiểm y tế (nếu có)”.</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b/>
          <w:bCs/>
          <w:szCs w:val="24"/>
          <w:lang w:val="en-US" w:eastAsia="vi-VN"/>
        </w:rPr>
        <w:t>Điều 2. Hiệu lực thi hành</w:t>
      </w:r>
    </w:p>
    <w:p w:rsidR="001B693F" w:rsidRPr="001B693F" w:rsidRDefault="001B693F" w:rsidP="001B693F">
      <w:pPr>
        <w:spacing w:after="120" w:line="240" w:lineRule="auto"/>
        <w:ind w:firstLine="720"/>
        <w:jc w:val="both"/>
        <w:rPr>
          <w:rFonts w:eastAsia="Times New Roman" w:cs="Times New Roman"/>
          <w:szCs w:val="24"/>
          <w:lang w:val="en-US" w:eastAsia="vi-VN"/>
        </w:rPr>
      </w:pPr>
      <w:r w:rsidRPr="001B693F">
        <w:rPr>
          <w:rFonts w:eastAsia="Times New Roman" w:cs="Times New Roman"/>
          <w:szCs w:val="24"/>
          <w:lang w:val="en-US" w:eastAsia="vi-VN"/>
        </w:rPr>
        <w:t>Thông tư này có hiệu lực kể từ ngày 01 tháng 9 năm 2015.</w:t>
      </w:r>
    </w:p>
    <w:p w:rsidR="001B693F" w:rsidRPr="001B693F" w:rsidRDefault="001B693F" w:rsidP="001B693F">
      <w:pPr>
        <w:spacing w:after="0" w:line="240" w:lineRule="auto"/>
        <w:ind w:firstLine="720"/>
        <w:jc w:val="both"/>
        <w:rPr>
          <w:rFonts w:eastAsia="Times New Roman" w:cs="Times New Roman"/>
          <w:szCs w:val="24"/>
          <w:lang w:val="en-US" w:eastAsia="vi-VN"/>
        </w:rPr>
      </w:pPr>
      <w:r w:rsidRPr="001B693F">
        <w:rPr>
          <w:rFonts w:eastAsia="Times New Roman" w:cs="Times New Roman"/>
          <w:szCs w:val="24"/>
          <w:lang w:val="en-US" w:eastAsia="vi-VN"/>
        </w:rPr>
        <w:t>Trong quá trình thực hiện nếu có vướng mắc, đề nghị phản ánh kịp thời về Bộ Y tế và Bộ Tài chính để nghiên cứu giải quyết./.</w:t>
      </w:r>
    </w:p>
    <w:p w:rsidR="001B693F" w:rsidRPr="001B693F" w:rsidRDefault="001B693F" w:rsidP="001B693F">
      <w:pPr>
        <w:spacing w:after="0" w:line="240" w:lineRule="auto"/>
        <w:rPr>
          <w:rFonts w:eastAsia="Times New Roman" w:cs="Times New Roman"/>
          <w:szCs w:val="24"/>
          <w:lang w:val="en-US" w:eastAsia="vi-VN"/>
        </w:rPr>
      </w:pPr>
      <w:r w:rsidRPr="001B693F">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068"/>
        <w:gridCol w:w="4850"/>
      </w:tblGrid>
      <w:tr w:rsidR="001B693F" w:rsidRPr="001B693F" w:rsidTr="001B693F">
        <w:tc>
          <w:tcPr>
            <w:tcW w:w="4262" w:type="dxa"/>
            <w:tcBorders>
              <w:top w:val="nil"/>
              <w:left w:val="nil"/>
              <w:bottom w:val="nil"/>
              <w:right w:val="nil"/>
            </w:tcBorders>
            <w:tcMar>
              <w:top w:w="0" w:type="dxa"/>
              <w:left w:w="108" w:type="dxa"/>
              <w:bottom w:w="0" w:type="dxa"/>
              <w:right w:w="108" w:type="dxa"/>
            </w:tcMar>
            <w:hideMark/>
          </w:tcPr>
          <w:p w:rsidR="001B693F" w:rsidRPr="001B693F" w:rsidRDefault="001B693F" w:rsidP="001B693F">
            <w:pPr>
              <w:spacing w:after="0" w:line="240" w:lineRule="auto"/>
              <w:jc w:val="center"/>
              <w:rPr>
                <w:rFonts w:eastAsia="Times New Roman" w:cs="Times New Roman"/>
                <w:szCs w:val="24"/>
                <w:lang w:eastAsia="vi-VN"/>
              </w:rPr>
            </w:pPr>
            <w:r w:rsidRPr="001B693F">
              <w:rPr>
                <w:rFonts w:eastAsia="Times New Roman" w:cs="Times New Roman"/>
                <w:b/>
                <w:bCs/>
                <w:szCs w:val="24"/>
                <w:lang w:eastAsia="vi-VN"/>
              </w:rPr>
              <w:t>KT. BỘ TRƯỞNG BỘ TÀI CHÍNH</w:t>
            </w:r>
            <w:r w:rsidRPr="001B693F">
              <w:rPr>
                <w:rFonts w:eastAsia="Times New Roman" w:cs="Times New Roman"/>
                <w:b/>
                <w:bCs/>
                <w:szCs w:val="24"/>
                <w:lang w:eastAsia="vi-VN"/>
              </w:rPr>
              <w:br/>
              <w:t>THỨ TRƯỞNG</w:t>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t>Trương Chí Trung</w:t>
            </w:r>
          </w:p>
        </w:tc>
        <w:tc>
          <w:tcPr>
            <w:tcW w:w="5098" w:type="dxa"/>
            <w:tcBorders>
              <w:top w:val="nil"/>
              <w:left w:val="nil"/>
              <w:bottom w:val="nil"/>
              <w:right w:val="nil"/>
            </w:tcBorders>
            <w:tcMar>
              <w:top w:w="0" w:type="dxa"/>
              <w:left w:w="108" w:type="dxa"/>
              <w:bottom w:w="0" w:type="dxa"/>
              <w:right w:w="108" w:type="dxa"/>
            </w:tcMar>
            <w:hideMark/>
          </w:tcPr>
          <w:p w:rsidR="001B693F" w:rsidRPr="001B693F" w:rsidRDefault="001B693F" w:rsidP="001B693F">
            <w:pPr>
              <w:spacing w:after="0" w:line="240" w:lineRule="auto"/>
              <w:jc w:val="center"/>
              <w:rPr>
                <w:rFonts w:eastAsia="Times New Roman" w:cs="Times New Roman"/>
                <w:szCs w:val="24"/>
                <w:lang w:eastAsia="vi-VN"/>
              </w:rPr>
            </w:pPr>
            <w:r w:rsidRPr="001B693F">
              <w:rPr>
                <w:rFonts w:eastAsia="Times New Roman" w:cs="Times New Roman"/>
                <w:b/>
                <w:bCs/>
                <w:szCs w:val="24"/>
                <w:lang w:eastAsia="vi-VN"/>
              </w:rPr>
              <w:t>KT. BỘ TRƯỞNG BỘ Y TẾ</w:t>
            </w:r>
            <w:r w:rsidRPr="001B693F">
              <w:rPr>
                <w:rFonts w:eastAsia="Times New Roman" w:cs="Times New Roman"/>
                <w:b/>
                <w:bCs/>
                <w:szCs w:val="24"/>
                <w:lang w:eastAsia="vi-VN"/>
              </w:rPr>
              <w:br/>
              <w:t>THỨ TRƯỞNG</w:t>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r>
            <w:r w:rsidRPr="001B693F">
              <w:rPr>
                <w:rFonts w:eastAsia="Times New Roman" w:cs="Times New Roman"/>
                <w:b/>
                <w:bCs/>
                <w:szCs w:val="24"/>
                <w:lang w:eastAsia="vi-VN"/>
              </w:rPr>
              <w:br/>
              <w:t>Phạm Lê Tuấn</w:t>
            </w:r>
          </w:p>
        </w:tc>
      </w:tr>
      <w:tr w:rsidR="001B693F" w:rsidRPr="001B693F" w:rsidTr="001B693F">
        <w:tc>
          <w:tcPr>
            <w:tcW w:w="9360" w:type="dxa"/>
            <w:gridSpan w:val="2"/>
            <w:tcBorders>
              <w:top w:val="nil"/>
              <w:left w:val="nil"/>
              <w:bottom w:val="nil"/>
              <w:right w:val="nil"/>
            </w:tcBorders>
            <w:tcMar>
              <w:top w:w="0" w:type="dxa"/>
              <w:left w:w="108" w:type="dxa"/>
              <w:bottom w:w="0" w:type="dxa"/>
              <w:right w:w="108" w:type="dxa"/>
            </w:tcMar>
            <w:hideMark/>
          </w:tcPr>
          <w:p w:rsidR="001B693F" w:rsidRPr="001B693F" w:rsidRDefault="001B693F" w:rsidP="001B693F">
            <w:pPr>
              <w:spacing w:after="0" w:line="240" w:lineRule="auto"/>
              <w:rPr>
                <w:rFonts w:eastAsia="Times New Roman" w:cs="Times New Roman"/>
                <w:szCs w:val="24"/>
                <w:lang w:eastAsia="vi-VN"/>
              </w:rPr>
            </w:pPr>
            <w:r w:rsidRPr="001B693F">
              <w:rPr>
                <w:rFonts w:eastAsia="Times New Roman" w:cs="Times New Roman"/>
                <w:b/>
                <w:bCs/>
                <w:i/>
                <w:iCs/>
                <w:szCs w:val="24"/>
                <w:lang w:eastAsia="vi-VN"/>
              </w:rPr>
              <w:t>Nơi nhận:</w:t>
            </w:r>
            <w:r w:rsidRPr="001B693F">
              <w:rPr>
                <w:rFonts w:eastAsia="Times New Roman" w:cs="Times New Roman"/>
                <w:szCs w:val="24"/>
                <w:lang w:eastAsia="vi-VN"/>
              </w:rPr>
              <w:br/>
              <w:t>- Thủ tướng, các Phó Thủ tướng;</w:t>
            </w:r>
            <w:r w:rsidRPr="001B693F">
              <w:rPr>
                <w:rFonts w:eastAsia="Times New Roman" w:cs="Times New Roman"/>
                <w:szCs w:val="24"/>
                <w:lang w:eastAsia="vi-VN"/>
              </w:rPr>
              <w:br/>
            </w:r>
            <w:r w:rsidRPr="001B693F">
              <w:rPr>
                <w:rFonts w:eastAsia="Times New Roman" w:cs="Times New Roman"/>
                <w:szCs w:val="24"/>
                <w:lang w:eastAsia="vi-VN"/>
              </w:rPr>
              <w:lastRenderedPageBreak/>
              <w:t>- Văn phòng Chính phủ;</w:t>
            </w:r>
            <w:r w:rsidRPr="001B693F">
              <w:rPr>
                <w:rFonts w:eastAsia="Times New Roman" w:cs="Times New Roman"/>
                <w:szCs w:val="24"/>
                <w:lang w:eastAsia="vi-VN"/>
              </w:rPr>
              <w:br/>
              <w:t>- Văn phòng Chủ tịch nước;</w:t>
            </w:r>
            <w:r w:rsidRPr="001B693F">
              <w:rPr>
                <w:rFonts w:eastAsia="Times New Roman" w:cs="Times New Roman"/>
                <w:szCs w:val="24"/>
                <w:lang w:eastAsia="vi-VN"/>
              </w:rPr>
              <w:br/>
              <w:t>- Văn phòng Quốc hội;</w:t>
            </w:r>
            <w:r w:rsidRPr="001B693F">
              <w:rPr>
                <w:rFonts w:eastAsia="Times New Roman" w:cs="Times New Roman"/>
                <w:szCs w:val="24"/>
                <w:lang w:eastAsia="vi-VN"/>
              </w:rPr>
              <w:br/>
              <w:t>- Văn phòng Trung ương và các Ban của Đảng;</w:t>
            </w:r>
            <w:r w:rsidRPr="001B693F">
              <w:rPr>
                <w:rFonts w:eastAsia="Times New Roman" w:cs="Times New Roman"/>
                <w:szCs w:val="24"/>
                <w:lang w:eastAsia="vi-VN"/>
              </w:rPr>
              <w:br/>
              <w:t>- Hội đồng Dân tộc và các Ủy ban của Quốc hội;</w:t>
            </w:r>
            <w:r w:rsidRPr="001B693F">
              <w:rPr>
                <w:rFonts w:eastAsia="Times New Roman" w:cs="Times New Roman"/>
                <w:szCs w:val="24"/>
                <w:lang w:eastAsia="vi-VN"/>
              </w:rPr>
              <w:br/>
              <w:t>- Các Bộ, cơ quan ngang Bộ, cơ quan thuộc Chính phủ;</w:t>
            </w:r>
            <w:r w:rsidRPr="001B693F">
              <w:rPr>
                <w:rFonts w:eastAsia="Times New Roman" w:cs="Times New Roman"/>
                <w:szCs w:val="24"/>
                <w:lang w:eastAsia="vi-VN"/>
              </w:rPr>
              <w:br/>
              <w:t>- Bảo hiểm xã hội Việt Nam;</w:t>
            </w:r>
            <w:r w:rsidRPr="001B693F">
              <w:rPr>
                <w:rFonts w:eastAsia="Times New Roman" w:cs="Times New Roman"/>
                <w:szCs w:val="24"/>
                <w:lang w:eastAsia="vi-VN"/>
              </w:rPr>
              <w:br/>
              <w:t>- Tòa án nhân dân tối cao;</w:t>
            </w:r>
            <w:r w:rsidRPr="001B693F">
              <w:rPr>
                <w:rFonts w:eastAsia="Times New Roman" w:cs="Times New Roman"/>
                <w:szCs w:val="24"/>
                <w:lang w:eastAsia="vi-VN"/>
              </w:rPr>
              <w:br/>
              <w:t>- Viện kiểm sát nhân dân tối cao;</w:t>
            </w:r>
            <w:r w:rsidRPr="001B693F">
              <w:rPr>
                <w:rFonts w:eastAsia="Times New Roman" w:cs="Times New Roman"/>
                <w:szCs w:val="24"/>
                <w:lang w:eastAsia="vi-VN"/>
              </w:rPr>
              <w:br/>
              <w:t>- Kiểm toán Nhà nước;</w:t>
            </w:r>
            <w:r w:rsidRPr="001B693F">
              <w:rPr>
                <w:rFonts w:eastAsia="Times New Roman" w:cs="Times New Roman"/>
                <w:szCs w:val="24"/>
                <w:lang w:eastAsia="vi-VN"/>
              </w:rPr>
              <w:br/>
              <w:t>- Cục Kiểm tra văn bản QPPL - Bộ Tư pháp;</w:t>
            </w:r>
            <w:r w:rsidRPr="001B693F">
              <w:rPr>
                <w:rFonts w:eastAsia="Times New Roman" w:cs="Times New Roman"/>
                <w:szCs w:val="24"/>
                <w:lang w:eastAsia="vi-VN"/>
              </w:rPr>
              <w:br/>
              <w:t>- HĐND, UBND các tỉnh, thành phố trực thuộc Trung ương;</w:t>
            </w:r>
            <w:r w:rsidRPr="001B693F">
              <w:rPr>
                <w:rFonts w:eastAsia="Times New Roman" w:cs="Times New Roman"/>
                <w:szCs w:val="24"/>
                <w:lang w:eastAsia="vi-VN"/>
              </w:rPr>
              <w:br/>
              <w:t>- Cơ quan Trung ương của các tổ chức đoàn thể;</w:t>
            </w:r>
            <w:r w:rsidRPr="001B693F">
              <w:rPr>
                <w:rFonts w:eastAsia="Times New Roman" w:cs="Times New Roman"/>
                <w:szCs w:val="24"/>
                <w:lang w:eastAsia="vi-VN"/>
              </w:rPr>
              <w:br/>
              <w:t>- Công báo, Cổng thông tin điện tử Chính phủ;</w:t>
            </w:r>
            <w:r w:rsidRPr="001B693F">
              <w:rPr>
                <w:rFonts w:eastAsia="Times New Roman" w:cs="Times New Roman"/>
                <w:szCs w:val="24"/>
                <w:lang w:eastAsia="vi-VN"/>
              </w:rPr>
              <w:br/>
              <w:t>- Cổng thông tin điện tử Bộ Y tế, Bộ Tài chính;</w:t>
            </w:r>
            <w:r w:rsidRPr="001B693F">
              <w:rPr>
                <w:rFonts w:eastAsia="Times New Roman" w:cs="Times New Roman"/>
                <w:szCs w:val="24"/>
                <w:lang w:eastAsia="vi-VN"/>
              </w:rPr>
              <w:br/>
              <w:t>- Sở Y tế; Sở Tài chính các tỉnh, thành phố trực thuộc Trung ương;</w:t>
            </w:r>
            <w:r w:rsidRPr="001B693F">
              <w:rPr>
                <w:rFonts w:eastAsia="Times New Roman" w:cs="Times New Roman"/>
                <w:szCs w:val="24"/>
                <w:lang w:eastAsia="vi-VN"/>
              </w:rPr>
              <w:br/>
              <w:t>- Cục Quân y, Bộ Quốc phòng, Cục Y tế - Bộ Công an, Y tế các ngành;</w:t>
            </w:r>
            <w:r w:rsidRPr="001B693F">
              <w:rPr>
                <w:rFonts w:eastAsia="Times New Roman" w:cs="Times New Roman"/>
                <w:szCs w:val="24"/>
                <w:lang w:eastAsia="vi-VN"/>
              </w:rPr>
              <w:br/>
              <w:t>- Các Vụ, Cục, Tổng cục, Thanh tra, Văn phòng Bộ Y tế;</w:t>
            </w:r>
            <w:r w:rsidRPr="001B693F">
              <w:rPr>
                <w:rFonts w:eastAsia="Times New Roman" w:cs="Times New Roman"/>
                <w:szCs w:val="24"/>
                <w:lang w:eastAsia="vi-VN"/>
              </w:rPr>
              <w:br/>
              <w:t>- Các Bệnh viện, Viện có giường bệnh trực thuộc Bộ Y tế;</w:t>
            </w:r>
            <w:r w:rsidRPr="001B693F">
              <w:rPr>
                <w:rFonts w:eastAsia="Times New Roman" w:cs="Times New Roman"/>
                <w:szCs w:val="24"/>
                <w:lang w:eastAsia="vi-VN"/>
              </w:rPr>
              <w:br/>
              <w:t>- Các đơn vị trực thuộc Bộ Tài chính;</w:t>
            </w:r>
            <w:r w:rsidRPr="001B693F">
              <w:rPr>
                <w:rFonts w:eastAsia="Times New Roman" w:cs="Times New Roman"/>
                <w:szCs w:val="24"/>
                <w:lang w:eastAsia="vi-VN"/>
              </w:rPr>
              <w:br/>
              <w:t>- Lưu: VT, Bộ Y tế, Bộ Tài chính.</w:t>
            </w:r>
          </w:p>
        </w:tc>
      </w:tr>
    </w:tbl>
    <w:p w:rsidR="001B693F" w:rsidRPr="001B693F" w:rsidRDefault="001B693F" w:rsidP="001B693F">
      <w:pPr>
        <w:spacing w:after="0" w:line="240" w:lineRule="auto"/>
        <w:rPr>
          <w:rFonts w:eastAsia="Times New Roman" w:cs="Times New Roman"/>
          <w:szCs w:val="24"/>
          <w:lang w:eastAsia="vi-VN"/>
        </w:rPr>
      </w:pPr>
      <w:r w:rsidRPr="001B693F">
        <w:rPr>
          <w:rFonts w:eastAsia="Times New Roman" w:cs="Times New Roman"/>
          <w:szCs w:val="24"/>
          <w:lang w:eastAsia="vi-VN"/>
        </w:rPr>
        <w:lastRenderedPageBreak/>
        <w:t> </w:t>
      </w:r>
    </w:p>
    <w:p w:rsidR="001B693F" w:rsidRPr="001B693F" w:rsidRDefault="001B693F" w:rsidP="001B693F">
      <w:pPr>
        <w:spacing w:after="0" w:line="240" w:lineRule="auto"/>
        <w:rPr>
          <w:rFonts w:eastAsia="Times New Roman" w:cs="Times New Roman"/>
          <w:szCs w:val="24"/>
          <w:lang w:eastAsia="vi-VN"/>
        </w:rPr>
      </w:pPr>
    </w:p>
    <w:p w:rsidR="00F1132A" w:rsidRPr="001B693F" w:rsidRDefault="00F1132A" w:rsidP="001B693F">
      <w:bookmarkStart w:id="0" w:name="_GoBack"/>
      <w:bookmarkEnd w:id="0"/>
    </w:p>
    <w:sectPr w:rsidR="00F1132A" w:rsidRPr="001B69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A0F" w:rsidRDefault="00BE3A0F" w:rsidP="00AA7479">
      <w:pPr>
        <w:spacing w:after="0" w:line="240" w:lineRule="auto"/>
      </w:pPr>
      <w:r>
        <w:separator/>
      </w:r>
    </w:p>
  </w:endnote>
  <w:endnote w:type="continuationSeparator" w:id="0">
    <w:p w:rsidR="00BE3A0F" w:rsidRDefault="00BE3A0F"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A0F" w:rsidRDefault="00BE3A0F" w:rsidP="00AA7479">
      <w:pPr>
        <w:spacing w:after="0" w:line="240" w:lineRule="auto"/>
      </w:pPr>
      <w:r>
        <w:separator/>
      </w:r>
    </w:p>
  </w:footnote>
  <w:footnote w:type="continuationSeparator" w:id="0">
    <w:p w:rsidR="00BE3A0F" w:rsidRDefault="00BE3A0F"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3D4307"/>
    <w:rsid w:val="005078AB"/>
    <w:rsid w:val="007263AA"/>
    <w:rsid w:val="00AA7479"/>
    <w:rsid w:val="00B9405F"/>
    <w:rsid w:val="00BD2FB4"/>
    <w:rsid w:val="00BE3A0F"/>
    <w:rsid w:val="00C106ED"/>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2017-11-19T02:37:00Z</dcterms:created>
  <dcterms:modified xsi:type="dcterms:W3CDTF">2017-11-19T02:37:00Z</dcterms:modified>
</cp:coreProperties>
</file>